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EF03A">
      <w:pPr>
        <w:pStyle w:val="3"/>
        <w:pageBreakBefore/>
        <w:rPr>
          <w:rFonts w:cs="Times New Roman"/>
          <w:sz w:val="28"/>
          <w:szCs w:val="40"/>
        </w:rPr>
      </w:pPr>
      <w:r>
        <w:rPr>
          <w:rFonts w:cs="Times New Roman"/>
          <w:sz w:val="28"/>
          <w:szCs w:val="40"/>
        </w:rPr>
        <w:t>附件</w:t>
      </w:r>
      <w:r>
        <w:rPr>
          <w:rFonts w:hint="eastAsia" w:cs="Times New Roman"/>
          <w:sz w:val="28"/>
          <w:szCs w:val="40"/>
          <w:lang w:val="en-US" w:eastAsia="zh-CN"/>
        </w:rPr>
        <w:t>二</w:t>
      </w:r>
      <w:r>
        <w:rPr>
          <w:rFonts w:cs="Times New Roman"/>
          <w:sz w:val="28"/>
          <w:szCs w:val="40"/>
        </w:rPr>
        <w:t>：产品需求书</w:t>
      </w:r>
    </w:p>
    <w:p w14:paraId="7152900C">
      <w:pPr>
        <w:ind w:firstLine="560"/>
        <w:rPr>
          <w:rFonts w:cs="Times New Roman"/>
        </w:rPr>
      </w:pPr>
    </w:p>
    <w:tbl>
      <w:tblPr>
        <w:tblStyle w:val="4"/>
        <w:tblW w:w="51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834"/>
        <w:gridCol w:w="5795"/>
        <w:gridCol w:w="3356"/>
      </w:tblGrid>
      <w:tr w14:paraId="01129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C2D5"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lang w:bidi="ar"/>
              </w:rPr>
              <w:t>需求类型</w:t>
            </w:r>
          </w:p>
        </w:tc>
        <w:tc>
          <w:tcPr>
            <w:tcW w:w="9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9C63"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lang w:bidi="ar"/>
              </w:rPr>
              <w:t>需求内容</w:t>
            </w:r>
          </w:p>
        </w:tc>
        <w:tc>
          <w:tcPr>
            <w:tcW w:w="1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8CF3"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lang w:bidi="ar"/>
              </w:rPr>
              <w:t>业务需求描述</w:t>
            </w:r>
          </w:p>
          <w:p w14:paraId="3DD15323"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lang w:bidi="ar"/>
              </w:rPr>
              <w:t>（产品需求）</w:t>
            </w:r>
          </w:p>
        </w:tc>
        <w:tc>
          <w:tcPr>
            <w:tcW w:w="11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64F2"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lang w:bidi="ar"/>
              </w:rPr>
              <w:t>预期产品功能、性能增量</w:t>
            </w:r>
          </w:p>
        </w:tc>
      </w:tr>
      <w:tr w14:paraId="26AF9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89C0"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249C"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02A7"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5177"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</w:p>
        </w:tc>
      </w:tr>
      <w:tr w14:paraId="5AACF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3C02EB78">
            <w:pPr>
              <w:ind w:firstLine="0" w:firstLineChars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大气和碳</w:t>
            </w:r>
          </w:p>
        </w:tc>
      </w:tr>
      <w:tr w14:paraId="420A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06B1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污染溯源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01AF">
            <w:pPr>
              <w:ind w:firstLine="0" w:firstLineChars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通过监测、成分分析、源解析和排放评估等技术手段，追踪并确定污染物的来源及其排放过程，旨在为制定针对性控制措施提供科学依据，从而有效改善空气质量。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3E6D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对于污染事件，基于天空地多元监测手段，</w:t>
            </w:r>
            <w:r>
              <w:rPr>
                <w:rFonts w:hint="eastAsia" w:cs="Times New Roman"/>
                <w:color w:val="000000"/>
                <w:sz w:val="24"/>
              </w:rPr>
              <w:t>多污染物种</w:t>
            </w:r>
            <w:r>
              <w:rPr>
                <w:rFonts w:cs="Times New Roman"/>
                <w:color w:val="000000"/>
                <w:sz w:val="24"/>
              </w:rPr>
              <w:t>高密度监测网格</w:t>
            </w:r>
            <w:r>
              <w:rPr>
                <w:rFonts w:hint="eastAsia" w:cs="Times New Roman"/>
                <w:color w:val="000000"/>
                <w:sz w:val="24"/>
              </w:rPr>
              <w:t>化监测方法（如传感器等）</w:t>
            </w:r>
            <w:r>
              <w:rPr>
                <w:rFonts w:cs="Times New Roman"/>
                <w:color w:val="000000"/>
                <w:sz w:val="24"/>
              </w:rPr>
              <w:t>，识别污染高值地带，自动规划调度排查锁定扩散路径和问题源头，柔性空间分辨率优于100米，问题识别率和准确率优于90%</w:t>
            </w:r>
            <w:r>
              <w:rPr>
                <w:rFonts w:hint="eastAsia" w:cs="Times New Roman"/>
                <w:color w:val="000000"/>
                <w:sz w:val="24"/>
              </w:rPr>
              <w:t>，建设可视化溯源问题库</w:t>
            </w:r>
            <w:r>
              <w:rPr>
                <w:rFonts w:cs="Times New Roman"/>
                <w:color w:val="000000"/>
                <w:sz w:val="24"/>
              </w:rPr>
              <w:t>；</w:t>
            </w:r>
          </w:p>
          <w:p w14:paraId="4B919F5A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对于区域性污染，深入剖析颗粒物/臭氧污染成因，定量表征污染传输路径，明确具体管控重点行业方向</w:t>
            </w:r>
            <w:r>
              <w:rPr>
                <w:rStyle w:val="6"/>
                <w:rFonts w:cs="Times New Roman"/>
                <w:sz w:val="24"/>
                <w:szCs w:val="24"/>
              </w:rPr>
              <w:t>，准确率优于90%</w:t>
            </w:r>
            <w:r>
              <w:rPr>
                <w:rFonts w:cs="Times New Roman"/>
                <w:color w:val="000000"/>
                <w:sz w:val="24"/>
              </w:rPr>
              <w:t>。</w:t>
            </w:r>
          </w:p>
          <w:p w14:paraId="79BC9288">
            <w:pPr>
              <w:pStyle w:val="2"/>
              <w:widowControl/>
              <w:ind w:firstLine="0" w:firstLineChars="0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15E6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覆盖重点区域，溯源时效性优于1小时，柔性空间分辨率优于100米，</w:t>
            </w:r>
            <w:r>
              <w:rPr>
                <w:rFonts w:hint="eastAsia" w:cs="Times New Roman"/>
                <w:color w:val="000000"/>
                <w:sz w:val="24"/>
              </w:rPr>
              <w:t>指标涵盖常规污染物和VOCs，</w:t>
            </w:r>
            <w:r>
              <w:rPr>
                <w:rFonts w:cs="Times New Roman"/>
                <w:color w:val="000000"/>
                <w:sz w:val="24"/>
              </w:rPr>
              <w:t>问题排查准确率优于90%，关键核心部件国产化率优于95%</w:t>
            </w:r>
            <w:r>
              <w:rPr>
                <w:rFonts w:hint="eastAsia" w:cs="Times New Roman"/>
                <w:color w:val="000000"/>
                <w:sz w:val="24"/>
              </w:rPr>
              <w:t>，建设可视化溯源问题库</w:t>
            </w:r>
            <w:r>
              <w:rPr>
                <w:rFonts w:cs="Times New Roman"/>
                <w:color w:val="000000"/>
                <w:sz w:val="24"/>
              </w:rPr>
              <w:t>；</w:t>
            </w:r>
          </w:p>
          <w:p w14:paraId="42E09320">
            <w:pPr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sz w:val="24"/>
              </w:rPr>
              <w:t>区域性污染成因表征方法，定量传输、排放（到行业）贡献，准确度优于90%，关键核心部件国产化率优于95%。</w:t>
            </w:r>
          </w:p>
        </w:tc>
      </w:tr>
      <w:tr w14:paraId="654E4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B2C9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排放贡献评估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237E">
            <w:pPr>
              <w:ind w:firstLine="0" w:firstLineChars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对某一区域或污染源的污染物排放量进行定量分析和评估，确定其对空气质量的贡献程度，为污染控制提供数据支持。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BB5C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基于污染源监测以及污染源生产活动水平感知数据，开展应急减排措施落实情况、政策及安排效果、生产活动形势以及非常规污染物评估，解析各类源排放对于污染贡献，明确污染控制方向。实现覆盖90%以上涉气主要排放源，评估时效优于1小时，问题识别率和识别准确率优于90%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8346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覆盖重点区域90%以上涉气固定源和移动源，评估时效性优于1小时，问题识别率和准确率优于90%，关键核心部件国产化率优于95%。</w:t>
            </w:r>
          </w:p>
        </w:tc>
      </w:tr>
      <w:tr w14:paraId="589D4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BF49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污染源执法监管</w:t>
            </w: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lang w:val="en-US" w:eastAsia="zh-CN"/>
              </w:rPr>
              <w:t>点源）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FBE5">
            <w:pPr>
              <w:ind w:firstLine="0" w:firstLineChars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通过非接触式污染源监测</w:t>
            </w:r>
            <w:r>
              <w:rPr>
                <w:rFonts w:hint="eastAsia" w:cs="Times New Roman"/>
                <w:sz w:val="24"/>
              </w:rPr>
              <w:t>（含排放量监测）</w:t>
            </w:r>
            <w:r>
              <w:rPr>
                <w:rFonts w:cs="Times New Roman"/>
                <w:sz w:val="24"/>
              </w:rPr>
              <w:t>、现场检查和数据比对等手段，核实污染源的排放行为是否符合法律法规要求，并对违法行为进行查处和整改的执法过程。解决</w:t>
            </w:r>
            <w:r>
              <w:rPr>
                <w:rFonts w:hint="eastAsia" w:cs="Times New Roman"/>
                <w:sz w:val="24"/>
                <w:lang w:val="en-US" w:eastAsia="zh-CN"/>
              </w:rPr>
              <w:t>工业</w:t>
            </w:r>
            <w:r>
              <w:rPr>
                <w:rFonts w:cs="Times New Roman"/>
                <w:sz w:val="24"/>
              </w:rPr>
              <w:t>污染源监测设备测不全、测不准、测不快的问题。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1E32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研发更加立体多元且可协同的监测技术和装备，形成“排口测、周边走、空中拍、天上看”的污染源立体监测技术体系和装备，关键核心部件国产化率优于95%</w:t>
            </w:r>
            <w:r>
              <w:rPr>
                <w:rFonts w:hint="eastAsia" w:cs="Times New Roman"/>
                <w:color w:val="000000"/>
                <w:sz w:val="24"/>
              </w:rPr>
              <w:t>；</w:t>
            </w:r>
          </w:p>
          <w:p w14:paraId="1A69D0E4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EC1D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地基遥测、机载航测等非接触式污染源监测设备精度可用于执法，监测指标涵盖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常规污染物（SO</w:t>
            </w:r>
            <w:r>
              <w:rPr>
                <w:rFonts w:hint="eastAsia" w:cs="Times New Roman"/>
                <w:color w:val="000000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、NO</w:t>
            </w:r>
            <w:r>
              <w:rPr>
                <w:rFonts w:hint="eastAsia" w:cs="Times New Roman"/>
                <w:color w:val="000000"/>
                <w:sz w:val="24"/>
                <w:vertAlign w:val="subscript"/>
                <w:lang w:val="en-US" w:eastAsia="zh-CN"/>
              </w:rPr>
              <w:t>x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、颗粒物、挥发性有机物、氨）、</w:t>
            </w:r>
            <w:r>
              <w:rPr>
                <w:rFonts w:cs="Times New Roman"/>
                <w:color w:val="000000"/>
                <w:sz w:val="24"/>
              </w:rPr>
              <w:t>CPM、重金属、离子、超细颗粒物等，关键核心部件国产化率优于95%。</w:t>
            </w:r>
          </w:p>
          <w:p w14:paraId="0A09DFC7">
            <w:pPr>
              <w:pStyle w:val="2"/>
              <w:ind w:firstLine="0" w:firstLineChars="0"/>
              <w:rPr>
                <w:rFonts w:eastAsia="仿宋_GB2312" w:cs="Times New Roman"/>
              </w:rPr>
            </w:pPr>
          </w:p>
        </w:tc>
      </w:tr>
      <w:tr w14:paraId="642A8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06A1"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sz w:val="24"/>
              </w:rPr>
              <w:t>污染源监管</w:t>
            </w:r>
            <w:r>
              <w:rPr>
                <w:rFonts w:hint="eastAsia" w:cs="Times New Roman"/>
                <w:sz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lang w:val="en-US" w:eastAsia="zh-CN"/>
              </w:rPr>
              <w:t>面源）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28A1">
            <w:pPr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通过卫星遥感、视频监控、低成本传感器等高时空分辨率感知手段，实现秸秆露天焚烧、施工工地、餐饮、汽修、民用散煤等面源污染的活动水平及污染排放量变化的动态评估。为重污染过程的面源排放贡献分析提供数据支撑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9A17">
            <w:pPr>
              <w:ind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研发适用于秸秆露天焚烧、施工工地、餐饮、汽修、民用散煤等面源污染的活动水平及污染排放量变化的</w:t>
            </w:r>
            <w:r>
              <w:rPr>
                <w:rFonts w:hint="eastAsia" w:cs="Times New Roman"/>
                <w:color w:val="000000"/>
                <w:sz w:val="24"/>
              </w:rPr>
              <w:t>无组织排放精细化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监测感知</w:t>
            </w:r>
            <w:r>
              <w:rPr>
                <w:rFonts w:hint="eastAsia" w:cs="Times New Roman"/>
                <w:color w:val="000000"/>
                <w:sz w:val="24"/>
              </w:rPr>
              <w:t>技术和装备，</w:t>
            </w:r>
            <w:r>
              <w:rPr>
                <w:rFonts w:hint="eastAsia" w:cs="Times New Roman"/>
                <w:sz w:val="24"/>
                <w:lang w:val="en-US" w:eastAsia="zh-CN"/>
              </w:rPr>
              <w:t>为面源污染监管和重污染过程的面源排放贡献分析提供数据支撑。</w:t>
            </w:r>
            <w:r>
              <w:rPr>
                <w:rFonts w:hint="eastAsia" w:cs="Times New Roman"/>
                <w:color w:val="000000"/>
                <w:sz w:val="24"/>
              </w:rPr>
              <w:t>大幅提升监管能力，关键核心部件国产化率优于95%。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84E1">
            <w:pPr>
              <w:pStyle w:val="2"/>
              <w:rPr>
                <w:rFonts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面源污染活动水平感知时间分辨率精细到日，空间分辨率不低于5km×5km，</w:t>
            </w:r>
            <w:r>
              <w:rPr>
                <w:rFonts w:eastAsia="仿宋_GB2312" w:cs="Times New Roman"/>
                <w:b w:val="0"/>
                <w:bCs w:val="0"/>
                <w:sz w:val="24"/>
                <w:szCs w:val="24"/>
              </w:rPr>
              <w:t>大幅提升监管能力，关键核心部件国产化率优于95%。</w:t>
            </w:r>
          </w:p>
        </w:tc>
      </w:tr>
      <w:tr w14:paraId="6A57B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D59F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污染问题线索筛查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3512">
            <w:pPr>
              <w:ind w:firstLine="0" w:firstLineChars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通过监测数据分析、活动水平感知等途径，准确研判污染源生产活动及排放水平，识别潜在污染源及其违规排放行为，为后续查证和执法提供线索。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CE17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填补非重点工业源、非道路移动源污染活动水平感知技术的缺失，增补卫星照片、视频数据等海量数据的污染源监管应用，实现视觉数据的自动化、智能化识别应用，全面感知。覆盖区域90%以上涉气固定源和移动源；异常线索、行为识别准确率优于95%；汇集数据时间分辨率达到日级以上；数据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更</w:t>
            </w:r>
            <w:r>
              <w:rPr>
                <w:rFonts w:cs="Times New Roman"/>
                <w:color w:val="000000"/>
                <w:sz w:val="24"/>
              </w:rPr>
              <w:t>新时滞后不超过7天。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F3E2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补齐目前活动水平感知数据中对于非重点工业源、非道路移动源、生活源污染活动水平感知技术的缺失，增补低成本传感器、工业用电量、DCS、卫星照片、监控视频、航班架次、船舶AIS、工程机械、农业机械物联网等数据的融合和应用。实现污染源监测一张网全面感知，精准调控。覆盖区域90%以上涉气固定源和移动源；异常线索、行为识别准确率优于95%；汇集数据时间分辨率达到日级以上；数据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更</w:t>
            </w:r>
            <w:r>
              <w:rPr>
                <w:rFonts w:cs="Times New Roman"/>
                <w:color w:val="000000"/>
                <w:sz w:val="24"/>
              </w:rPr>
              <w:t>新时滞后不超过7天。</w:t>
            </w:r>
          </w:p>
        </w:tc>
      </w:tr>
      <w:tr w14:paraId="1A4CC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1023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空气质量考核评价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BF99">
            <w:pPr>
              <w:ind w:firstLine="0" w:firstLineChars="0"/>
              <w:jc w:val="both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基于高精度监测数据</w:t>
            </w:r>
            <w:r>
              <w:rPr>
                <w:rFonts w:cs="Times New Roman"/>
                <w:sz w:val="24"/>
              </w:rPr>
              <w:t>，评估某一区域在一定时期内污染物浓度是否达到规定限值</w:t>
            </w:r>
            <w:r>
              <w:rPr>
                <w:rFonts w:hint="eastAsia" w:cs="Times New Roman"/>
                <w:sz w:val="24"/>
              </w:rPr>
              <w:t>或设定目标。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25C7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研发高精度PM</w:t>
            </w:r>
            <w:r>
              <w:rPr>
                <w:rFonts w:hint="eastAsia" w:cs="Times New Roman"/>
                <w:color w:val="000000"/>
                <w:sz w:val="24"/>
                <w:vertAlign w:val="subscript"/>
              </w:rPr>
              <w:t>2.5</w:t>
            </w:r>
            <w:r>
              <w:rPr>
                <w:rFonts w:hint="eastAsia" w:cs="Times New Roman"/>
                <w:color w:val="000000"/>
                <w:sz w:val="24"/>
              </w:rPr>
              <w:t>监测设备，PM</w:t>
            </w:r>
            <w:r>
              <w:rPr>
                <w:rFonts w:hint="eastAsia" w:cs="Times New Roman"/>
                <w:color w:val="000000"/>
                <w:sz w:val="24"/>
                <w:vertAlign w:val="subscript"/>
              </w:rPr>
              <w:t>2.5</w:t>
            </w:r>
            <w:r>
              <w:rPr>
                <w:rFonts w:hint="eastAsia" w:cs="Times New Roman"/>
                <w:color w:val="000000"/>
                <w:sz w:val="24"/>
              </w:rPr>
              <w:t xml:space="preserve"> 平行性&lt;10% ，参比方法偏差&lt;10%（低浓度&lt;±2 </w:t>
            </w:r>
            <w:r>
              <w:rPr>
                <w:rFonts w:cs="Times New Roman"/>
                <w:color w:val="000000"/>
                <w:sz w:val="24"/>
              </w:rPr>
              <w:t>μg/m</w:t>
            </w:r>
            <w:r>
              <w:rPr>
                <w:rFonts w:hint="eastAsia" w:cs="Times New Roman"/>
                <w:color w:val="000000"/>
                <w:sz w:val="24"/>
                <w:vertAlign w:val="superscript"/>
              </w:rPr>
              <w:t>3</w:t>
            </w:r>
            <w:r>
              <w:rPr>
                <w:rFonts w:hint="eastAsia" w:cs="Times New Roman"/>
                <w:color w:val="000000"/>
                <w:sz w:val="24"/>
              </w:rPr>
              <w:t>）。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95A1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PM</w:t>
            </w:r>
            <w:r>
              <w:rPr>
                <w:rFonts w:cs="Times New Roman"/>
                <w:color w:val="000000"/>
                <w:sz w:val="24"/>
                <w:vertAlign w:val="subscript"/>
              </w:rPr>
              <w:t>2.5</w:t>
            </w:r>
            <w:r>
              <w:rPr>
                <w:rFonts w:cs="Times New Roman"/>
                <w:color w:val="000000"/>
                <w:sz w:val="24"/>
              </w:rPr>
              <w:t>平行性</w:t>
            </w:r>
            <w:r>
              <w:rPr>
                <w:rFonts w:hint="eastAsia" w:cs="Times New Roman"/>
                <w:color w:val="000000"/>
                <w:sz w:val="24"/>
              </w:rPr>
              <w:t>由标准方法的</w:t>
            </w:r>
            <w:r>
              <w:rPr>
                <w:rFonts w:cs="Times New Roman"/>
                <w:color w:val="000000"/>
                <w:sz w:val="24"/>
              </w:rPr>
              <w:t>≤15%</w:t>
            </w:r>
            <w:r>
              <w:rPr>
                <w:rFonts w:hint="eastAsia" w:cs="Times New Roman"/>
                <w:color w:val="000000"/>
                <w:sz w:val="24"/>
              </w:rPr>
              <w:t>提升至10%</w:t>
            </w:r>
            <w:r>
              <w:rPr>
                <w:rFonts w:cs="Times New Roman"/>
                <w:color w:val="000000"/>
                <w:sz w:val="24"/>
              </w:rPr>
              <w:t>；</w:t>
            </w:r>
            <w:r>
              <w:rPr>
                <w:rFonts w:hint="eastAsia" w:cs="Times New Roman"/>
                <w:color w:val="000000"/>
                <w:sz w:val="24"/>
              </w:rPr>
              <w:t xml:space="preserve">参比方法偏差提升至&lt;±2 </w:t>
            </w:r>
            <w:r>
              <w:rPr>
                <w:rFonts w:cs="Times New Roman"/>
                <w:color w:val="000000"/>
                <w:sz w:val="24"/>
              </w:rPr>
              <w:t>μg/m</w:t>
            </w:r>
            <w:r>
              <w:rPr>
                <w:rFonts w:hint="eastAsia" w:cs="Times New Roman"/>
                <w:color w:val="000000"/>
                <w:sz w:val="24"/>
                <w:vertAlign w:val="superscript"/>
              </w:rPr>
              <w:t>3</w:t>
            </w:r>
            <w:r>
              <w:rPr>
                <w:rFonts w:hint="eastAsia" w:cs="Times New Roman"/>
                <w:color w:val="000000"/>
                <w:sz w:val="24"/>
              </w:rPr>
              <w:t>。</w:t>
            </w:r>
          </w:p>
          <w:p w14:paraId="12CC7253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</w:p>
        </w:tc>
      </w:tr>
      <w:tr w14:paraId="2A207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D077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温室气体排放评估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A1B5">
            <w:pPr>
              <w:ind w:firstLine="0" w:firstLineChars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对某一区域或行业的温室气体排放量进行定量分析和评估，确定其排放特征及对气候变化的贡献，为减排政策制定提供数据支持。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AAC4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支撑大气温室气体不同时空尺度趋势评估，多种排放源温室气体排放量评估。主流温室气体监测设备、反演算法国产化率优于90%。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6913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适用于大规模联网及移动观测需求的便携式、低成本的温室气体监测设备，误差优于1%；与国际标准接轨的大气温室气体同位素标校体系；人为源温室气体监测评估，时间分辨率优于30分钟。</w:t>
            </w:r>
          </w:p>
        </w:tc>
      </w:tr>
      <w:tr w14:paraId="04EE5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F669">
            <w:pPr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健康风险评价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480A">
            <w:pPr>
              <w:ind w:firstLine="0" w:firstLineChars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评估新型空气质量指标（WHO、欧美国家等新开展监测的指标）对健康风险的潜在影响，为前瞻性健康保护提供支持。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8153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评估新型空气质量指标引入空气质量标准、排放标准的适配度，提出业务化监测方法，监测精度优于90%，监测设备核心部件国产化率优于90%。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57B4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评估指标与国际前沿接轨，监测方法时间分辨率优于1小时，监测精度优于90%，监测设备核心部件国产化率优于90%。</w:t>
            </w:r>
          </w:p>
        </w:tc>
      </w:tr>
      <w:tr w14:paraId="2EDBA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1B3AD75C">
            <w:pPr>
              <w:ind w:firstLine="0" w:firstLineChars="0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bCs/>
                <w:color w:val="000000"/>
                <w:sz w:val="21"/>
                <w:szCs w:val="21"/>
              </w:rPr>
              <w:t>地表水</w:t>
            </w:r>
          </w:p>
        </w:tc>
      </w:tr>
      <w:tr w14:paraId="53E36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1B36">
            <w:pPr>
              <w:ind w:firstLine="0" w:firstLineChars="0"/>
              <w:jc w:val="center"/>
              <w:rPr>
                <w:rFonts w:eastAsia="方正仿宋_GB2312" w:cs="Times New Roman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污染排查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6AAC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针对水环境质量监测到的异常值，对汇水范围内水体进行排查，定位水环境问题来源。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B59B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寻找排污口、定位排污口、识别排污口状态；根据高值自动触发，并自动生成排查任务，时效性优于30分钟，自动生成排查报告，断面汇水范围（≤50km</w:t>
            </w:r>
            <w:r>
              <w:rPr>
                <w:rFonts w:cs="Times New Roman"/>
                <w:color w:val="000000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）建设成本不高于40万元，运维成本不高于8万元/年。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8423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时效性从数小时提升至优于30分钟，排查准确率提升至85%，覆盖断面汇水范围内100%区域，问题排污口水质水量监测时间分辨率优于分钟级，精度提升至80%。</w:t>
            </w:r>
          </w:p>
        </w:tc>
      </w:tr>
      <w:tr w14:paraId="72C80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604E">
            <w:pPr>
              <w:ind w:firstLine="0" w:firstLineChars="0"/>
              <w:jc w:val="center"/>
              <w:rPr>
                <w:rFonts w:hint="default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异常值报警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71B9"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实时监控饮用水源地等关键区域的水质，并及时掌握水源风险。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CBD6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采</w:t>
            </w: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用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低成本高分辨</w:t>
            </w: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率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在线监测技术，对饮用水源地水质风险（如特征污染物、蓝藻水华、病原微生物等）进行实时监控，</w:t>
            </w: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报警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时效性达到小时级，</w:t>
            </w: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报警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准确度≥70%，满足上述性能需求条件下，成本尽可能低。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081B">
            <w:pPr>
              <w:ind w:firstLine="0" w:firstLineChars="0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实现饮用水源地的在线监测，风险预警时效性由天/月级提升至小时级，</w:t>
            </w: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报警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准确度≥70%。</w:t>
            </w:r>
          </w:p>
        </w:tc>
      </w:tr>
      <w:tr w14:paraId="7DCFB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A537">
            <w:pPr>
              <w:ind w:firstLine="0" w:firstLineChars="0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污染源监管</w:t>
            </w:r>
            <w:r>
              <w:rPr>
                <w:rFonts w:hint="eastAsia" w:cs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点源</w:t>
            </w:r>
            <w:r>
              <w:rPr>
                <w:rFonts w:hint="eastAsia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6916"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实时动态掌握断面汇水范围内污染源的状态、污染产生和排放情况。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B341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融合多模态数据（如污染排放、用电、用水、手机信令等），对汇水范围内污染源的动态进行研判，污染源状态分析分辨率达到亚小时级，污染源异常识别准确率≥80%</w:t>
            </w: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，形成典型问题案例库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E87A">
            <w:pPr>
              <w:ind w:firstLine="0" w:firstLineChars="0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由单一排口监测升级为多模态数据融合监控，时间分辨率达到亚小时级，污染源异常识别准确率≥80%。</w:t>
            </w:r>
          </w:p>
        </w:tc>
      </w:tr>
      <w:tr w14:paraId="3514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FCF2">
            <w:pPr>
              <w:ind w:firstLine="0" w:firstLineChars="0"/>
              <w:jc w:val="center"/>
              <w:rPr>
                <w:rFonts w:hint="eastAsia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污染源监管</w:t>
            </w:r>
            <w:r>
              <w:rPr>
                <w:rFonts w:hint="eastAsia" w:cs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面源</w:t>
            </w:r>
            <w:r>
              <w:rPr>
                <w:rFonts w:hint="eastAsia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84DA"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建立合理的农业面源指标体系并融合多种手段进行监测，精确评估农业活动对地表水水质的影响。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F7DC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建立科学合理、可管控的农业面源指标体系，在田间、沟渠和收纳水体等多个位点建立监测体系，使用低成本高频（尤其在汛期）监测手段进行监测，能够精准定量评估农业面源负荷对水体污染的贡献，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≤50km</w:t>
            </w:r>
            <w:r>
              <w:rPr>
                <w:rFonts w:cs="Times New Roman"/>
                <w:color w:val="000000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农业区的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建设成本不高于40万元</w:t>
            </w: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C34E">
            <w:pPr>
              <w:ind w:firstLine="0" w:firstLineChars="0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汛期农业面源相关指标监测时间分辨率优于2小时，精准定量评估农业面源负荷对水体污染的贡献</w:t>
            </w:r>
          </w:p>
        </w:tc>
      </w:tr>
      <w:tr w14:paraId="2D960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B055"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入河入海排污口监测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FD09"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使用传感器、高光谱等接触/非接触相结合的手段，实时掌控排污口状况。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6C2C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引入低成本、高时间分辨率、无人化的监测手段，对入河入海排污口进行全天候监测，重点问题时段监测时间分辨率达到分钟级，水质/水量监测精度达到80%以上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A57A">
            <w:pPr>
              <w:ind w:firstLine="0" w:firstLineChars="0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重点问题时段监测时间分辨率达到分钟级，水质/水量监测精度达到80%以上</w:t>
            </w:r>
          </w:p>
        </w:tc>
      </w:tr>
      <w:tr w14:paraId="7690B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0D5ABEDC">
            <w:pPr>
              <w:ind w:firstLine="0" w:firstLineChars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土壤与地下水</w:t>
            </w:r>
          </w:p>
        </w:tc>
      </w:tr>
      <w:tr w14:paraId="4BD3B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1B0D">
            <w:pPr>
              <w:widowControl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污染预警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172E">
            <w:pPr>
              <w:widowControl/>
              <w:ind w:firstLine="0" w:firstLineChars="0"/>
              <w:jc w:val="both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灵敏感知土壤和地下水污染风险，为土壤与地下水污染风险预警工作提供数据支持。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1615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融合多手段灵敏感知土壤与地下水重点监管单位及“一区两场”重点风险区域及污染源的污染扩散累积风险，实现地下水污染快速灵敏感知，单位尺度污染羽识别准确率≥90%。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F855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融合多手段进行土壤与地下水污染扩散累积风险预警，地下水单位尺度污染羽识别准确率≥90%。</w:t>
            </w:r>
          </w:p>
        </w:tc>
      </w:tr>
      <w:tr w14:paraId="522FD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686C2A5D">
            <w:pPr>
              <w:ind w:firstLine="0" w:firstLineChars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生态</w:t>
            </w:r>
          </w:p>
        </w:tc>
      </w:tr>
      <w:tr w14:paraId="09DA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EF4C">
            <w:pPr>
              <w:widowControl/>
              <w:ind w:firstLine="0" w:firstLineChars="0"/>
              <w:jc w:val="center"/>
              <w:rPr>
                <w:rFonts w:cs="Times New Roman"/>
                <w:color w:val="000000"/>
                <w:sz w:val="24"/>
                <w:lang w:bidi="ar"/>
              </w:rPr>
            </w:pPr>
            <w:r>
              <w:rPr>
                <w:rFonts w:cs="Times New Roman"/>
                <w:color w:val="000000"/>
                <w:sz w:val="24"/>
                <w:lang w:bidi="ar"/>
              </w:rPr>
              <w:t>生物多样性丧失评估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9B9B">
            <w:pPr>
              <w:widowControl/>
              <w:ind w:firstLine="0" w:firstLineChars="0"/>
              <w:rPr>
                <w:rFonts w:cs="Times New Roman"/>
                <w:color w:val="00000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通过监测种群数量、生境变化等相关参数，形成生物多样性数据产品，开展生物多样性的统计与分析，构建生物多样性评估与预测模型，实现生物多样性丧失现状及风险的评估。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F513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围绕生物多样性监测数据的准确性、评估模型的可靠性等提升目标，亟需研发图像识别、声纹识别、基因识别等相关技术、方法、装备及平台，支撑区域生物多样性保护与恢复。生物多样性监测数据的精度至少提升20-30%；生物多样性预测模型的精度提升至80%以上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6E90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生物多样性监测数据的精度至少提升20-30%；生物多样性预测模型的精度提升至80%以上。</w:t>
            </w:r>
          </w:p>
        </w:tc>
      </w:tr>
      <w:tr w14:paraId="1DBC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1A5A872F">
            <w:pPr>
              <w:ind w:firstLine="0" w:firstLineChars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噪声</w:t>
            </w:r>
          </w:p>
        </w:tc>
      </w:tr>
      <w:tr w14:paraId="50E0D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8217">
            <w:pPr>
              <w:ind w:firstLine="0" w:firstLineChars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趋势评估与污染溯源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B0F5">
            <w:pPr>
              <w:ind w:firstLine="0" w:firstLineChars="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实时、全面感知城市噪声水平，精准识别主要噪声污染来源及重点污染区域。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8E32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感知节点覆盖广、密度高，基本覆盖城市建成区，空间分辨率≤200米；时效性强，数据更新频次≤15分钟；准确度高，能准确感知工业、建筑施工、交通运输、社会生活等各类噪声源造成的影响，误差±2 dB；具有智能溯源能力，识别主要噪声种类不少于50种，识别准确率≥90%；成本低，建设成本不高于10,000元/km²。</w:t>
            </w:r>
          </w:p>
          <w:p w14:paraId="522BBA88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</w:p>
          <w:p w14:paraId="5FA6A401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5C3A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服务精准治污，监测指标在等效声级等声学指标基础上，扩展对主要声源类型的智能识别；相同监测成本的情况下，空间分辨率提高百倍以上。</w:t>
            </w:r>
          </w:p>
          <w:p w14:paraId="59684BEE">
            <w:pPr>
              <w:widowControl/>
              <w:ind w:firstLine="0" w:firstLineChars="0"/>
              <w:textAlignment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08FB9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5EDC1425"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sz w:val="24"/>
              </w:rPr>
              <w:t>智慧运控</w:t>
            </w:r>
          </w:p>
        </w:tc>
      </w:tr>
      <w:tr w14:paraId="6291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4A35">
            <w:pPr>
              <w:ind w:firstLine="0" w:firstLineChars="0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低成本无人智慧监测管理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8CAC">
            <w:pPr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利用机器视觉、物联网感知、大模型算法等先进技术，在采样、分析、运维、质控等全环节实现自动化操作，逐步从“无人化”向“无人”迈进，进一步提高数据质量、降低运维管理成本。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AA34">
            <w:pPr>
              <w:widowControl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开发智能无人监测系统，利用物联网传感器、智能体、大模型算法、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5G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通信等先进技术与设备，全面替代人工操作，具备自动化采样、实时分析、远程监控、故障预警、数据质控等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功能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，能够适应复杂环境下的长期稳定运行需求。通过智能化与自动化的深度融合，显著降低数据生产成本20%。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77AD">
            <w:pPr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成本降低20%，管理支撑效能提升。</w:t>
            </w:r>
          </w:p>
        </w:tc>
      </w:tr>
      <w:tr w14:paraId="47BE0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61D5">
            <w:pPr>
              <w:ind w:firstLine="0" w:firstLineChars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智能监控预警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CD30">
            <w:pPr>
              <w:ind w:firstLine="0" w:firstLineChars="0"/>
              <w:jc w:val="both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对监测设备运行状态及潜在故障进行智能监控与识别，对站点内外环境人为干扰进行智能识别。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1AF1">
            <w:pPr>
              <w:ind w:firstLine="0" w:firstLineChars="0"/>
              <w:jc w:val="both"/>
              <w:rPr>
                <w:rFonts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设备监测算法对设备状态参数进行采集和预处理，实现状态分类与异常实时监控与预警，实现故障预测与健康管理。人为干扰识别算法实现对运维人员站外洒水、人为遮挡摄像头等非正常操作行为的智能识别与自动告警。算法需支持边缘部署，建设成本不高于100万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2C4C">
            <w:pPr>
              <w:widowControl/>
              <w:ind w:firstLine="0" w:firstLineChars="0"/>
              <w:textAlignment w:val="center"/>
              <w:rPr>
                <w:rFonts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" w:cs="Times New Roman"/>
                <w:color w:val="000000"/>
                <w:kern w:val="0"/>
                <w:sz w:val="24"/>
                <w:lang w:bidi="ar"/>
              </w:rPr>
              <w:t>准确率需大于80%，召回率需大于90%。</w:t>
            </w:r>
          </w:p>
        </w:tc>
      </w:tr>
      <w:tr w14:paraId="25F61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95BB">
            <w:pPr>
              <w:ind w:firstLine="0" w:firstLineChars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区域集成运营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1F45">
            <w:pPr>
              <w:ind w:firstLine="0" w:firstLineChars="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结合任务类型、地理位置、设备情况等信息对一定区域范围内运维人员、设备、车辆、备机、备品备件、耗材等进行智能调度、数智化运营。</w:t>
            </w:r>
          </w:p>
        </w:tc>
        <w:tc>
          <w:tcPr>
            <w:tcW w:w="1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7806">
            <w:pPr>
              <w:ind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中心集</w:t>
            </w: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运维、质控、维修、备机管理、备品备件、耗材管理、培训、技术交流等多功能</w:t>
            </w:r>
            <w:r>
              <w:rPr>
                <w:rFonts w:hint="eastAsia" w:cs="Times New Roman"/>
                <w:color w:val="000000"/>
                <w:kern w:val="0"/>
                <w:sz w:val="24"/>
                <w:lang w:bidi="ar"/>
              </w:rPr>
              <w:t>，基于多信息协同联动，可实现运维自动派单、资源分配等智能化决策支持。在运维调度方面，</w:t>
            </w:r>
            <w:r>
              <w:rPr>
                <w:rFonts w:cs="Times New Roman"/>
                <w:color w:val="000000"/>
                <w:kern w:val="0"/>
                <w:sz w:val="24"/>
                <w:lang w:bidi="ar"/>
              </w:rPr>
              <w:t>风险类型任务调度，按紧急程度匹配专业人员、车辆等资源。常规类型任务调度，按最小化总成本匹配运维人员、车辆等资源，响应时间缩短20%，资源空闲率小于15%，成本降低10%。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4A4A">
            <w:pPr>
              <w:widowControl/>
              <w:ind w:firstLine="0" w:firstLineChars="0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lang w:bidi="ar"/>
              </w:rPr>
              <w:t>具备集成运营管理功能；运维调度</w:t>
            </w:r>
            <w:r>
              <w:rPr>
                <w:rFonts w:eastAsia="仿宋" w:cs="Times New Roman"/>
                <w:color w:val="000000"/>
                <w:kern w:val="0"/>
                <w:sz w:val="24"/>
                <w:lang w:bidi="ar"/>
              </w:rPr>
              <w:t>响应时间缩短20%，资源空闲率小于15%，成本降低10%。</w:t>
            </w:r>
          </w:p>
        </w:tc>
      </w:tr>
    </w:tbl>
    <w:p w14:paraId="4FB984E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10A2E7-CF24-4467-B0EF-0BFAF2935E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11FD79-679C-466B-9B38-9F7E941392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9CB89F5-5723-4F25-B977-9BE5296348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425C3A-1196-4EFE-90A4-3335EF43348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83E31"/>
    <w:rsid w:val="04F66D62"/>
    <w:rsid w:val="06A116ED"/>
    <w:rsid w:val="13873A79"/>
    <w:rsid w:val="37F50CDF"/>
    <w:rsid w:val="38CE1405"/>
    <w:rsid w:val="4AFA2747"/>
    <w:rsid w:val="4CE83E31"/>
    <w:rsid w:val="7F9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ind w:firstLine="0" w:firstLineChars="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eastAsia="黑体" w:cstheme="majorBidi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4297</Words>
  <Characters>4500</Characters>
  <Lines>0</Lines>
  <Paragraphs>0</Paragraphs>
  <TotalTime>0</TotalTime>
  <ScaleCrop>false</ScaleCrop>
  <LinksUpToDate>false</LinksUpToDate>
  <CharactersWithSpaces>4505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2025-03-25T08:29:00Z</dcterms:created>
  <dc:creator>戎海凤</dc:creator>
  <cp:lastModifiedBy>戎海凤</cp:lastModifiedBy>
  <dcterms:modified xsi:type="dcterms:W3CDTF">2025-03-26T08:43:13Z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B5A7C233289A4378B5DDDB0210572C93_11</vt:lpwstr>
  </property>
  <property fmtid="{D5CDD505-2E9C-101B-9397-08002B2CF9AE}" pid="4" name="KSOTemplateDocerSaveRecord">
    <vt:lpwstr>eyJoZGlkIjoiNTgxYmMxZjg0NWM1MjMzMDFmYjlkY2UwMTgxM2I5NTQiLCJ1c2VySWQiOiI2MjI2NzQzMjkifQ==</vt:lpwstr>
  </property>
</Properties>
</file>